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page" w:tblpX="9865" w:tblpY="793"/>
        <w:tblW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80"/>
      </w:tblGrid>
      <w:tr w:rsidR="00DC6C95" w:rsidRPr="00DC6C95" w14:paraId="5296A356" w14:textId="77777777">
        <w:trPr>
          <w:trHeight w:hRule="exact" w:val="173"/>
        </w:trPr>
        <w:tc>
          <w:tcPr>
            <w:tcW w:w="1080" w:type="dxa"/>
          </w:tcPr>
          <w:p w14:paraId="5126A50C" w14:textId="77777777" w:rsidR="00DC6C95" w:rsidRPr="00DC6C95" w:rsidRDefault="00DC6C95" w:rsidP="00462CD9">
            <w:pPr>
              <w:pStyle w:val="TelNo"/>
              <w:framePr w:hSpace="0" w:wrap="auto" w:vAnchor="margin" w:hAnchor="text" w:xAlign="left" w:yAlign="inline"/>
            </w:pPr>
            <w:r w:rsidRPr="00DC6C95">
              <w:t>902 424-</w:t>
            </w:r>
            <w:r w:rsidR="000C7DB9">
              <w:t>2358</w:t>
            </w:r>
          </w:p>
        </w:tc>
      </w:tr>
      <w:tr w:rsidR="00DC6C95" w:rsidRPr="00DC6C95" w14:paraId="724DED34" w14:textId="77777777">
        <w:trPr>
          <w:trHeight w:hRule="exact" w:val="173"/>
        </w:trPr>
        <w:tc>
          <w:tcPr>
            <w:tcW w:w="1080" w:type="dxa"/>
          </w:tcPr>
          <w:p w14:paraId="7804FC3F" w14:textId="77777777" w:rsidR="00DC6C95" w:rsidRPr="00DC6C95" w:rsidRDefault="00DC6C95" w:rsidP="00CB3C8D">
            <w:pPr>
              <w:pStyle w:val="TelNo"/>
              <w:framePr w:hSpace="0" w:wrap="auto" w:vAnchor="margin" w:hAnchor="text" w:xAlign="left" w:yAlign="inline"/>
            </w:pPr>
            <w:r w:rsidRPr="00DC6C95">
              <w:t>902 424-</w:t>
            </w:r>
            <w:r w:rsidR="000C7DB9">
              <w:t>4716</w:t>
            </w:r>
          </w:p>
        </w:tc>
      </w:tr>
    </w:tbl>
    <w:p w14:paraId="3291C885" w14:textId="77777777" w:rsidR="00651CD5" w:rsidRPr="00167EAD" w:rsidRDefault="00651CD5" w:rsidP="00651CD5">
      <w:pPr>
        <w:jc w:val="center"/>
        <w:rPr>
          <w:rFonts w:ascii="Arial" w:hAnsi="Arial" w:cs="Arial"/>
          <w:b/>
          <w:sz w:val="52"/>
          <w:szCs w:val="52"/>
        </w:rPr>
      </w:pPr>
      <w:r w:rsidRPr="00167EAD">
        <w:rPr>
          <w:rFonts w:ascii="Arial" w:hAnsi="Arial" w:cs="Arial"/>
          <w:b/>
          <w:sz w:val="52"/>
          <w:szCs w:val="52"/>
        </w:rPr>
        <w:t>Memorandum</w:t>
      </w:r>
    </w:p>
    <w:p w14:paraId="1DC66E0F" w14:textId="77777777" w:rsidR="00651CD5" w:rsidRPr="00167EAD" w:rsidRDefault="00651CD5" w:rsidP="00651CD5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607903D3" w14:textId="60AD590B" w:rsidR="00651CD5" w:rsidRPr="00167EAD" w:rsidRDefault="00651CD5" w:rsidP="00167EAD">
      <w:pPr>
        <w:ind w:right="-334"/>
        <w:rPr>
          <w:rFonts w:ascii="Arial" w:hAnsi="Arial" w:cs="Arial"/>
          <w:b/>
        </w:rPr>
      </w:pPr>
      <w:r w:rsidRPr="00167EAD">
        <w:rPr>
          <w:rFonts w:ascii="Arial" w:hAnsi="Arial" w:cs="Arial"/>
          <w:b/>
        </w:rPr>
        <w:t>To:</w:t>
      </w:r>
      <w:r w:rsidRPr="00167EAD">
        <w:rPr>
          <w:rFonts w:ascii="Arial" w:hAnsi="Arial" w:cs="Arial"/>
          <w:b/>
        </w:rPr>
        <w:tab/>
      </w:r>
      <w:r w:rsidR="00167EAD">
        <w:rPr>
          <w:rFonts w:ascii="Arial" w:hAnsi="Arial" w:cs="Arial"/>
          <w:b/>
        </w:rPr>
        <w:t xml:space="preserve"> </w:t>
      </w:r>
      <w:r w:rsidR="00B73229" w:rsidRPr="00167EAD">
        <w:rPr>
          <w:rFonts w:ascii="Arial" w:hAnsi="Arial" w:cs="Arial"/>
          <w:bCs/>
        </w:rPr>
        <w:t>Health Care providers</w:t>
      </w:r>
    </w:p>
    <w:p w14:paraId="1D948F58" w14:textId="77777777" w:rsidR="002F5B75" w:rsidRPr="00167EAD" w:rsidRDefault="002F5B75" w:rsidP="00651CD5">
      <w:pPr>
        <w:rPr>
          <w:rFonts w:ascii="Arial" w:hAnsi="Arial" w:cs="Arial"/>
          <w:b/>
          <w:sz w:val="20"/>
          <w:szCs w:val="20"/>
        </w:rPr>
      </w:pPr>
    </w:p>
    <w:p w14:paraId="674BE6B4" w14:textId="77777777" w:rsidR="00651CD5" w:rsidRPr="00167EAD" w:rsidRDefault="00651CD5" w:rsidP="00651CD5">
      <w:pPr>
        <w:rPr>
          <w:rFonts w:ascii="Arial" w:hAnsi="Arial" w:cs="Arial"/>
          <w:b/>
        </w:rPr>
      </w:pPr>
      <w:r w:rsidRPr="00167EAD">
        <w:rPr>
          <w:rFonts w:ascii="Arial" w:hAnsi="Arial" w:cs="Arial"/>
          <w:b/>
        </w:rPr>
        <w:t>From:</w:t>
      </w:r>
      <w:r w:rsidR="00530C80" w:rsidRPr="00167EAD">
        <w:rPr>
          <w:rFonts w:ascii="Arial" w:hAnsi="Arial" w:cs="Arial"/>
          <w:b/>
        </w:rPr>
        <w:t xml:space="preserve">  </w:t>
      </w:r>
      <w:r w:rsidR="00530C80" w:rsidRPr="00167EAD">
        <w:rPr>
          <w:rFonts w:ascii="Arial" w:hAnsi="Arial" w:cs="Arial"/>
          <w:bCs/>
        </w:rPr>
        <w:t xml:space="preserve">Dr. Robert Strang, </w:t>
      </w:r>
      <w:r w:rsidR="00D14883" w:rsidRPr="00167EAD">
        <w:rPr>
          <w:rFonts w:ascii="Arial" w:hAnsi="Arial" w:cs="Arial"/>
          <w:bCs/>
        </w:rPr>
        <w:t xml:space="preserve">Chief </w:t>
      </w:r>
      <w:r w:rsidR="00530C80" w:rsidRPr="00167EAD">
        <w:rPr>
          <w:rFonts w:ascii="Arial" w:hAnsi="Arial" w:cs="Arial"/>
          <w:bCs/>
        </w:rPr>
        <w:t xml:space="preserve">Medical Officer </w:t>
      </w:r>
      <w:r w:rsidR="00D14883" w:rsidRPr="00167EAD">
        <w:rPr>
          <w:rFonts w:ascii="Arial" w:hAnsi="Arial" w:cs="Arial"/>
          <w:bCs/>
        </w:rPr>
        <w:t xml:space="preserve">Health </w:t>
      </w:r>
    </w:p>
    <w:p w14:paraId="65DE6905" w14:textId="77777777" w:rsidR="00651CD5" w:rsidRPr="00167EAD" w:rsidRDefault="00651CD5" w:rsidP="00651CD5">
      <w:pPr>
        <w:rPr>
          <w:rFonts w:ascii="Arial" w:hAnsi="Arial" w:cs="Arial"/>
          <w:b/>
          <w:sz w:val="20"/>
          <w:szCs w:val="20"/>
        </w:rPr>
      </w:pPr>
    </w:p>
    <w:p w14:paraId="206FD8A8" w14:textId="753DE2C5" w:rsidR="0054356D" w:rsidRPr="00167EAD" w:rsidRDefault="00651CD5" w:rsidP="00D14883">
      <w:pPr>
        <w:rPr>
          <w:rFonts w:ascii="Arial" w:hAnsi="Arial" w:cs="Arial"/>
          <w:b/>
        </w:rPr>
      </w:pPr>
      <w:r w:rsidRPr="00167EAD">
        <w:rPr>
          <w:rFonts w:ascii="Arial" w:hAnsi="Arial" w:cs="Arial"/>
          <w:b/>
        </w:rPr>
        <w:t>Date:</w:t>
      </w:r>
      <w:r w:rsidR="00D14883" w:rsidRPr="00167EAD">
        <w:rPr>
          <w:rFonts w:ascii="Arial" w:hAnsi="Arial" w:cs="Arial"/>
          <w:b/>
        </w:rPr>
        <w:t xml:space="preserve">  </w:t>
      </w:r>
      <w:r w:rsidR="00167EAD">
        <w:rPr>
          <w:rFonts w:ascii="Arial" w:hAnsi="Arial" w:cs="Arial"/>
          <w:b/>
        </w:rPr>
        <w:t xml:space="preserve"> </w:t>
      </w:r>
      <w:r w:rsidR="00167EAD" w:rsidRPr="00167EAD">
        <w:rPr>
          <w:rFonts w:ascii="Arial" w:hAnsi="Arial" w:cs="Arial"/>
          <w:bCs/>
        </w:rPr>
        <w:t>November 1, 2019</w:t>
      </w:r>
    </w:p>
    <w:p w14:paraId="7DD777D3" w14:textId="77777777" w:rsidR="0054356D" w:rsidRPr="00167EAD" w:rsidRDefault="0054356D" w:rsidP="00D14883">
      <w:pPr>
        <w:rPr>
          <w:rFonts w:ascii="Arial" w:hAnsi="Arial" w:cs="Arial"/>
          <w:b/>
          <w:sz w:val="20"/>
          <w:szCs w:val="20"/>
        </w:rPr>
      </w:pPr>
    </w:p>
    <w:p w14:paraId="31C951D2" w14:textId="22559690" w:rsidR="00AE431A" w:rsidRPr="00167EAD" w:rsidRDefault="00D14883">
      <w:pPr>
        <w:rPr>
          <w:rFonts w:ascii="Arial" w:hAnsi="Arial" w:cs="Arial"/>
          <w:b/>
        </w:rPr>
      </w:pPr>
      <w:r w:rsidRPr="00167EAD">
        <w:rPr>
          <w:rFonts w:ascii="Arial" w:hAnsi="Arial" w:cs="Arial"/>
          <w:b/>
        </w:rPr>
        <w:t xml:space="preserve">Re:    </w:t>
      </w:r>
      <w:r w:rsidR="0054356D" w:rsidRPr="00167EAD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8102D" wp14:editId="5F618568">
                <wp:simplePos x="0" y="0"/>
                <wp:positionH relativeFrom="column">
                  <wp:posOffset>0</wp:posOffset>
                </wp:positionH>
                <wp:positionV relativeFrom="paragraph">
                  <wp:posOffset>402590</wp:posOffset>
                </wp:positionV>
                <wp:extent cx="5372100" cy="0"/>
                <wp:effectExtent l="9525" t="12065" r="9525" b="165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936C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7pt" to="423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TL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" strokeweight="1.5pt"/>
            </w:pict>
          </mc:Fallback>
        </mc:AlternateContent>
      </w:r>
      <w:r w:rsidR="00167EAD">
        <w:rPr>
          <w:rFonts w:ascii="Arial" w:hAnsi="Arial" w:cs="Arial"/>
          <w:b/>
        </w:rPr>
        <w:t xml:space="preserve">  </w:t>
      </w:r>
      <w:r w:rsidR="00167EAD" w:rsidRPr="00167EAD">
        <w:rPr>
          <w:rFonts w:ascii="Arial" w:hAnsi="Arial" w:cs="Arial"/>
          <w:bCs/>
        </w:rPr>
        <w:t>Rotavirus vaccine added to the Childhood Immunization Schedule</w:t>
      </w:r>
    </w:p>
    <w:p w14:paraId="6EF61B76" w14:textId="72887081" w:rsidR="00CE57F6" w:rsidRPr="00167EAD" w:rsidRDefault="00CE57F6">
      <w:pPr>
        <w:rPr>
          <w:rFonts w:ascii="Arial" w:hAnsi="Arial" w:cs="Arial"/>
          <w:sz w:val="20"/>
          <w:szCs w:val="20"/>
        </w:rPr>
      </w:pPr>
    </w:p>
    <w:p w14:paraId="2E73480E" w14:textId="77777777" w:rsidR="00311829" w:rsidRPr="00167EAD" w:rsidRDefault="00311829" w:rsidP="00CE57F6">
      <w:pPr>
        <w:rPr>
          <w:rFonts w:ascii="Arial" w:hAnsi="Arial" w:cs="Arial"/>
        </w:rPr>
      </w:pPr>
    </w:p>
    <w:p w14:paraId="297A5795" w14:textId="77777777" w:rsidR="00CE57F6" w:rsidRPr="00167EAD" w:rsidRDefault="00CE57F6" w:rsidP="00CE57F6">
      <w:pPr>
        <w:rPr>
          <w:rFonts w:ascii="Arial" w:hAnsi="Arial" w:cs="Arial"/>
          <w:sz w:val="20"/>
          <w:szCs w:val="20"/>
        </w:rPr>
      </w:pPr>
    </w:p>
    <w:p w14:paraId="68765421" w14:textId="77777777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 xml:space="preserve">I would like to inform you of changes to the publicly funded immunization program. </w:t>
      </w:r>
    </w:p>
    <w:p w14:paraId="139588AB" w14:textId="6AA8CABB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 xml:space="preserve"> </w:t>
      </w:r>
    </w:p>
    <w:p w14:paraId="027015F9" w14:textId="1E865AEB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b/>
          <w:bCs/>
          <w:sz w:val="23"/>
          <w:szCs w:val="23"/>
        </w:rPr>
        <w:t>Rotavirus vaccine</w:t>
      </w:r>
      <w:r w:rsidRPr="00167EAD">
        <w:rPr>
          <w:rFonts w:ascii="Arial" w:hAnsi="Arial" w:cs="Arial"/>
          <w:sz w:val="23"/>
          <w:szCs w:val="23"/>
        </w:rPr>
        <w:t xml:space="preserve"> will now be added to the childhood immunization schedule for all children born as of November 1, 2019. </w:t>
      </w:r>
    </w:p>
    <w:p w14:paraId="235AB68D" w14:textId="77777777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</w:p>
    <w:p w14:paraId="21079726" w14:textId="6A19F625" w:rsidR="00167EAD" w:rsidRPr="00167EAD" w:rsidRDefault="00167EAD" w:rsidP="00167EAD">
      <w:pPr>
        <w:rPr>
          <w:rStyle w:val="Hyperlink"/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 xml:space="preserve">The addition of this vaccine will be reflected in the </w:t>
      </w:r>
      <w:r w:rsidRPr="00167EAD">
        <w:rPr>
          <w:rFonts w:ascii="Arial" w:hAnsi="Arial" w:cs="Arial"/>
          <w:b/>
          <w:bCs/>
          <w:i/>
          <w:iCs/>
          <w:sz w:val="23"/>
          <w:szCs w:val="23"/>
        </w:rPr>
        <w:t xml:space="preserve">Nova Scotia Publicly Funded Vaccine/Immunoglobulin Eligibility Policy </w:t>
      </w:r>
      <w:r w:rsidRPr="00167EAD">
        <w:rPr>
          <w:rFonts w:ascii="Arial" w:hAnsi="Arial" w:cs="Arial"/>
          <w:sz w:val="23"/>
          <w:szCs w:val="23"/>
        </w:rPr>
        <w:t xml:space="preserve">and the </w:t>
      </w:r>
      <w:r w:rsidRPr="00167EAD">
        <w:rPr>
          <w:rFonts w:ascii="Arial" w:hAnsi="Arial" w:cs="Arial"/>
          <w:b/>
          <w:bCs/>
          <w:i/>
          <w:iCs/>
          <w:sz w:val="23"/>
          <w:szCs w:val="23"/>
        </w:rPr>
        <w:t>Routine Immunization Schedules for Children, Youth &amp; Adults</w:t>
      </w:r>
      <w:r w:rsidRPr="00167EAD">
        <w:rPr>
          <w:rFonts w:ascii="Arial" w:hAnsi="Arial" w:cs="Arial"/>
          <w:sz w:val="23"/>
          <w:szCs w:val="23"/>
        </w:rPr>
        <w:t xml:space="preserve"> which can be found at </w:t>
      </w:r>
      <w:hyperlink r:id="rId7" w:history="1">
        <w:r w:rsidRPr="00167EAD">
          <w:rPr>
            <w:rStyle w:val="Hyperlink"/>
            <w:rFonts w:ascii="Arial" w:hAnsi="Arial" w:cs="Arial"/>
            <w:sz w:val="23"/>
            <w:szCs w:val="23"/>
          </w:rPr>
          <w:t>https://novascotia.ca/dhw/cdpc/info-for-professionals.asp</w:t>
        </w:r>
      </w:hyperlink>
    </w:p>
    <w:p w14:paraId="0104C8C1" w14:textId="77777777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</w:p>
    <w:p w14:paraId="3B3E4E4C" w14:textId="2F964963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>The oral vaccine</w:t>
      </w:r>
      <w:r w:rsidRPr="00167EAD">
        <w:rPr>
          <w:rFonts w:ascii="Arial" w:eastAsia="Times New Roman" w:hAnsi="Arial" w:cs="Arial"/>
          <w:sz w:val="23"/>
          <w:szCs w:val="23"/>
        </w:rPr>
        <w:t xml:space="preserve"> </w:t>
      </w:r>
      <w:proofErr w:type="spellStart"/>
      <w:r w:rsidRPr="00167EAD">
        <w:rPr>
          <w:rFonts w:ascii="Arial" w:eastAsia="Times New Roman" w:hAnsi="Arial" w:cs="Arial"/>
          <w:sz w:val="23"/>
          <w:szCs w:val="23"/>
        </w:rPr>
        <w:t>RotaTeq</w:t>
      </w:r>
      <w:proofErr w:type="spellEnd"/>
      <w:r w:rsidRPr="00167EAD">
        <w:rPr>
          <w:rFonts w:ascii="Arial" w:eastAsia="Times New Roman" w:hAnsi="Arial" w:cs="Arial"/>
          <w:sz w:val="23"/>
          <w:szCs w:val="23"/>
        </w:rPr>
        <w:t>®, will</w:t>
      </w:r>
      <w:r w:rsidRPr="00167EAD">
        <w:rPr>
          <w:rFonts w:ascii="Arial" w:hAnsi="Arial" w:cs="Arial"/>
          <w:sz w:val="23"/>
          <w:szCs w:val="23"/>
        </w:rPr>
        <w:t xml:space="preserve"> be used in Nova Scotia. It is a three-dose series and should be given at 2, 4 and 6 months of age, </w:t>
      </w:r>
      <w:proofErr w:type="gramStart"/>
      <w:r w:rsidRPr="00167EAD">
        <w:rPr>
          <w:rFonts w:ascii="Arial" w:hAnsi="Arial" w:cs="Arial"/>
          <w:sz w:val="23"/>
          <w:szCs w:val="23"/>
        </w:rPr>
        <w:t>similar to</w:t>
      </w:r>
      <w:proofErr w:type="gramEnd"/>
      <w:r w:rsidRPr="00167EAD">
        <w:rPr>
          <w:rFonts w:ascii="Arial" w:hAnsi="Arial" w:cs="Arial"/>
          <w:sz w:val="23"/>
          <w:szCs w:val="23"/>
        </w:rPr>
        <w:t xml:space="preserve"> other childhood vaccines. The first dose should never be administered before 6 weeks of age or after 15 weeks of age and all doses in the series must be administered before 8 months of age. If the product is given off-schedule, refer to the </w:t>
      </w:r>
      <w:hyperlink r:id="rId8" w:history="1">
        <w:r w:rsidRPr="00167EAD">
          <w:rPr>
            <w:rStyle w:val="Hyperlink"/>
            <w:rFonts w:ascii="Arial" w:hAnsi="Arial" w:cs="Arial"/>
            <w:sz w:val="23"/>
            <w:szCs w:val="23"/>
          </w:rPr>
          <w:t>Canadian Immunization Guide</w:t>
        </w:r>
      </w:hyperlink>
      <w:r w:rsidRPr="00167EAD">
        <w:rPr>
          <w:rFonts w:ascii="Arial" w:hAnsi="Arial" w:cs="Arial"/>
          <w:sz w:val="23"/>
          <w:szCs w:val="23"/>
        </w:rPr>
        <w:t xml:space="preserve"> (CIG) and the Rotavirus Vaccine Program Q&amp;A attached for more information. </w:t>
      </w:r>
    </w:p>
    <w:p w14:paraId="338A3A6D" w14:textId="77777777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</w:p>
    <w:p w14:paraId="12605A91" w14:textId="77777777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 xml:space="preserve">Most infants will tolerate the vaccine well and have no side effects; however, there may be a slightly higher rate of diarrhea and vomiting in the 7 days following the receipt of the vaccine. Parents should also be informed that there is also a low risk of </w:t>
      </w:r>
      <w:proofErr w:type="spellStart"/>
      <w:r w:rsidRPr="00167EAD">
        <w:rPr>
          <w:rFonts w:ascii="Arial" w:hAnsi="Arial" w:cs="Arial"/>
          <w:sz w:val="23"/>
          <w:szCs w:val="23"/>
        </w:rPr>
        <w:t>intussuception</w:t>
      </w:r>
      <w:proofErr w:type="spellEnd"/>
      <w:r w:rsidRPr="00167EAD">
        <w:rPr>
          <w:rFonts w:ascii="Arial" w:hAnsi="Arial" w:cs="Arial"/>
          <w:sz w:val="23"/>
          <w:szCs w:val="23"/>
        </w:rPr>
        <w:t xml:space="preserve"> following the vaccine. Parent education should include the signs and symptoms of </w:t>
      </w:r>
      <w:proofErr w:type="spellStart"/>
      <w:r w:rsidRPr="00167EAD">
        <w:rPr>
          <w:rFonts w:ascii="Arial" w:hAnsi="Arial" w:cs="Arial"/>
          <w:sz w:val="23"/>
          <w:szCs w:val="23"/>
        </w:rPr>
        <w:t>intussuception</w:t>
      </w:r>
      <w:proofErr w:type="spellEnd"/>
      <w:r w:rsidRPr="00167EAD">
        <w:rPr>
          <w:rFonts w:ascii="Arial" w:hAnsi="Arial" w:cs="Arial"/>
          <w:sz w:val="23"/>
          <w:szCs w:val="23"/>
        </w:rPr>
        <w:t xml:space="preserve"> and the importance of seeking medical care should symptoms develop. Other reported side effects are outlined in the CIG and Q&amp;A.  </w:t>
      </w:r>
    </w:p>
    <w:p w14:paraId="604E7AA5" w14:textId="58F0364F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 xml:space="preserve">       </w:t>
      </w:r>
    </w:p>
    <w:p w14:paraId="3DC3FF42" w14:textId="157F3103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>Storage is important and the vaccine</w:t>
      </w:r>
      <w:r w:rsidRPr="00167EAD">
        <w:rPr>
          <w:rFonts w:ascii="Arial" w:hAnsi="Arial" w:cs="Arial"/>
          <w:strike/>
          <w:sz w:val="23"/>
          <w:szCs w:val="23"/>
        </w:rPr>
        <w:t xml:space="preserve"> </w:t>
      </w:r>
      <w:r w:rsidRPr="00167EAD">
        <w:rPr>
          <w:rFonts w:ascii="Arial" w:hAnsi="Arial" w:cs="Arial"/>
          <w:sz w:val="23"/>
          <w:szCs w:val="23"/>
        </w:rPr>
        <w:t xml:space="preserve">must be kept refrigerated between +2° to +8° Celsius, protected from light, and never frozen. </w:t>
      </w:r>
      <w:proofErr w:type="spellStart"/>
      <w:r w:rsidRPr="00167EAD">
        <w:rPr>
          <w:rFonts w:ascii="Arial" w:hAnsi="Arial" w:cs="Arial"/>
          <w:sz w:val="23"/>
          <w:szCs w:val="23"/>
        </w:rPr>
        <w:t>RotaTeq</w:t>
      </w:r>
      <w:proofErr w:type="spellEnd"/>
      <w:r w:rsidRPr="00167EAD">
        <w:rPr>
          <w:rFonts w:ascii="Arial" w:hAnsi="Arial" w:cs="Arial"/>
          <w:sz w:val="23"/>
          <w:szCs w:val="23"/>
        </w:rPr>
        <w:t xml:space="preserve">® should be given in a clinic or office setting by a health care provider or under the direction and supervision of a health care provider. For further information regarding the vaccine including administration, please refer to the </w:t>
      </w:r>
      <w:hyperlink r:id="rId9" w:history="1">
        <w:r w:rsidRPr="00167EAD">
          <w:rPr>
            <w:rStyle w:val="Hyperlink"/>
            <w:rFonts w:ascii="Arial" w:hAnsi="Arial" w:cs="Arial"/>
            <w:sz w:val="23"/>
            <w:szCs w:val="23"/>
          </w:rPr>
          <w:t>Product Monograph</w:t>
        </w:r>
      </w:hyperlink>
      <w:r w:rsidRPr="00167EAD">
        <w:rPr>
          <w:rFonts w:ascii="Arial" w:hAnsi="Arial" w:cs="Arial"/>
          <w:sz w:val="23"/>
          <w:szCs w:val="23"/>
        </w:rPr>
        <w:t xml:space="preserve">. </w:t>
      </w:r>
    </w:p>
    <w:p w14:paraId="4B880CBE" w14:textId="77777777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</w:p>
    <w:p w14:paraId="23244F5C" w14:textId="0ADAF1DC" w:rsid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>The vaccine will be available, through your local Public Health office, beginning in December 2019.</w:t>
      </w:r>
    </w:p>
    <w:p w14:paraId="0C7D315C" w14:textId="77777777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</w:p>
    <w:p w14:paraId="430541BB" w14:textId="77777777" w:rsidR="00167EAD" w:rsidRPr="00167EAD" w:rsidRDefault="00167EAD" w:rsidP="00167EAD">
      <w:pPr>
        <w:rPr>
          <w:rFonts w:ascii="Arial" w:hAnsi="Arial" w:cs="Arial"/>
          <w:sz w:val="23"/>
          <w:szCs w:val="23"/>
        </w:rPr>
      </w:pPr>
      <w:r w:rsidRPr="00167EAD">
        <w:rPr>
          <w:rFonts w:ascii="Arial" w:hAnsi="Arial" w:cs="Arial"/>
          <w:sz w:val="23"/>
          <w:szCs w:val="23"/>
        </w:rPr>
        <w:t>Thank you for your continued support and commitment to the publicly funded immunization program.</w:t>
      </w:r>
    </w:p>
    <w:p w14:paraId="4CFED1FC" w14:textId="77777777" w:rsidR="00167EAD" w:rsidRPr="00AE431A" w:rsidRDefault="00167EAD">
      <w:pPr>
        <w:rPr>
          <w:rFonts w:ascii="Times New Roman" w:hAnsi="Times New Roman" w:cs="Times New Roman"/>
        </w:rPr>
      </w:pPr>
    </w:p>
    <w:sectPr w:rsidR="00167EAD" w:rsidRPr="00AE431A" w:rsidSect="00167EAD">
      <w:headerReference w:type="default" r:id="rId10"/>
      <w:pgSz w:w="12240" w:h="15840"/>
      <w:pgMar w:top="1800" w:right="1467" w:bottom="28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B0775" w14:textId="77777777" w:rsidR="007C0660" w:rsidRDefault="007C0660" w:rsidP="005A37D5">
      <w:r>
        <w:separator/>
      </w:r>
    </w:p>
  </w:endnote>
  <w:endnote w:type="continuationSeparator" w:id="0">
    <w:p w14:paraId="149F4204" w14:textId="77777777" w:rsidR="007C0660" w:rsidRDefault="007C0660" w:rsidP="005A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5936E" w14:textId="77777777" w:rsidR="007C0660" w:rsidRDefault="007C0660" w:rsidP="005A37D5">
      <w:r>
        <w:separator/>
      </w:r>
    </w:p>
  </w:footnote>
  <w:footnote w:type="continuationSeparator" w:id="0">
    <w:p w14:paraId="34BF73B0" w14:textId="77777777" w:rsidR="007C0660" w:rsidRDefault="007C0660" w:rsidP="005A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49D81" w14:textId="1B9D3920" w:rsidR="00167EAD" w:rsidRDefault="00167EA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1FD3C" wp14:editId="5D0E916A">
          <wp:simplePos x="0" y="0"/>
          <wp:positionH relativeFrom="column">
            <wp:posOffset>5267325</wp:posOffset>
          </wp:positionH>
          <wp:positionV relativeFrom="paragraph">
            <wp:posOffset>276225</wp:posOffset>
          </wp:positionV>
          <wp:extent cx="1047750" cy="4191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752B25C" wp14:editId="7840F395">
          <wp:simplePos x="0" y="0"/>
          <wp:positionH relativeFrom="column">
            <wp:posOffset>-542925</wp:posOffset>
          </wp:positionH>
          <wp:positionV relativeFrom="paragraph">
            <wp:posOffset>-161925</wp:posOffset>
          </wp:positionV>
          <wp:extent cx="1316990" cy="65214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35061"/>
    <w:multiLevelType w:val="hybridMultilevel"/>
    <w:tmpl w:val="6248DD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B651BE"/>
    <w:multiLevelType w:val="hybridMultilevel"/>
    <w:tmpl w:val="3DEC1358"/>
    <w:lvl w:ilvl="0" w:tplc="9D86BBDE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591520"/>
    <w:multiLevelType w:val="hybridMultilevel"/>
    <w:tmpl w:val="CD281436"/>
    <w:lvl w:ilvl="0" w:tplc="C56AEE20">
      <w:start w:val="902"/>
      <w:numFmt w:val="bullet"/>
      <w:lvlText w:val=""/>
      <w:lvlJc w:val="left"/>
      <w:pPr>
        <w:ind w:left="360" w:hanging="360"/>
      </w:pPr>
      <w:rPr>
        <w:rFonts w:ascii="Symbol" w:eastAsia="Times New Roman" w:hAnsi="Symbol" w:cs="Lucida San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73230"/>
    <w:multiLevelType w:val="hybridMultilevel"/>
    <w:tmpl w:val="278C8C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910B8"/>
    <w:multiLevelType w:val="hybridMultilevel"/>
    <w:tmpl w:val="4F5618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E65EB"/>
    <w:multiLevelType w:val="hybridMultilevel"/>
    <w:tmpl w:val="954641C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6A52FB"/>
    <w:multiLevelType w:val="hybridMultilevel"/>
    <w:tmpl w:val="3DB4B44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0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10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DF945A5"/>
    <w:multiLevelType w:val="hybridMultilevel"/>
    <w:tmpl w:val="386034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672CC"/>
    <w:multiLevelType w:val="hybridMultilevel"/>
    <w:tmpl w:val="B5ECB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095398B"/>
    <w:multiLevelType w:val="hybridMultilevel"/>
    <w:tmpl w:val="E0B620C6"/>
    <w:lvl w:ilvl="0" w:tplc="CE02B290">
      <w:start w:val="1"/>
      <w:numFmt w:val="decimal"/>
      <w:lvlText w:val="%1)"/>
      <w:lvlJc w:val="left"/>
      <w:pPr>
        <w:ind w:left="28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D6A5F"/>
    <w:multiLevelType w:val="hybridMultilevel"/>
    <w:tmpl w:val="243A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95"/>
    <w:rsid w:val="000C7DB9"/>
    <w:rsid w:val="00167EAD"/>
    <w:rsid w:val="001D6C9E"/>
    <w:rsid w:val="002F5B75"/>
    <w:rsid w:val="00311829"/>
    <w:rsid w:val="00374108"/>
    <w:rsid w:val="00426E8C"/>
    <w:rsid w:val="004456ED"/>
    <w:rsid w:val="00455A94"/>
    <w:rsid w:val="00462CD9"/>
    <w:rsid w:val="00486EC2"/>
    <w:rsid w:val="004F612D"/>
    <w:rsid w:val="005028FF"/>
    <w:rsid w:val="00530C80"/>
    <w:rsid w:val="0054356D"/>
    <w:rsid w:val="00585083"/>
    <w:rsid w:val="005A37D5"/>
    <w:rsid w:val="005C2547"/>
    <w:rsid w:val="006317D1"/>
    <w:rsid w:val="00651CD5"/>
    <w:rsid w:val="007C0660"/>
    <w:rsid w:val="00801D8D"/>
    <w:rsid w:val="008F6447"/>
    <w:rsid w:val="00974194"/>
    <w:rsid w:val="00A423E8"/>
    <w:rsid w:val="00AE431A"/>
    <w:rsid w:val="00B006E9"/>
    <w:rsid w:val="00B41068"/>
    <w:rsid w:val="00B73229"/>
    <w:rsid w:val="00CB3C8D"/>
    <w:rsid w:val="00CE57F6"/>
    <w:rsid w:val="00D04CCE"/>
    <w:rsid w:val="00D14883"/>
    <w:rsid w:val="00D802F1"/>
    <w:rsid w:val="00DC6C95"/>
    <w:rsid w:val="00E404C7"/>
    <w:rsid w:val="00F45800"/>
    <w:rsid w:val="00FB29AE"/>
    <w:rsid w:val="00FB5BF1"/>
    <w:rsid w:val="00FE7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."/>
  <w:listSeparator w:val=","/>
  <w14:docId w14:val="4A62948A"/>
  <w15:docId w15:val="{1E201A6A-23E8-4EE5-A565-2D8113AD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1238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3C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C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C9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6C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C95"/>
    <w:rPr>
      <w:sz w:val="24"/>
      <w:szCs w:val="24"/>
    </w:rPr>
  </w:style>
  <w:style w:type="table" w:styleId="TableGrid">
    <w:name w:val="Table Grid"/>
    <w:basedOn w:val="TableNormal"/>
    <w:uiPriority w:val="59"/>
    <w:rsid w:val="00DC6C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lNo">
    <w:name w:val="TelNo"/>
    <w:qFormat/>
    <w:rsid w:val="00462CD9"/>
    <w:pPr>
      <w:framePr w:hSpace="187" w:wrap="around" w:vAnchor="page" w:hAnchor="page" w:x="9865" w:y="793"/>
      <w:jc w:val="right"/>
    </w:pPr>
    <w:rPr>
      <w:rFonts w:ascii="Arial Narrow" w:hAnsi="Arial Narrow"/>
      <w:sz w:val="16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3C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01D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57F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E5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public-health/services/publications/healthy-living/canadian-immunization-guide-part-4-active-vaccines/page-19-rotavirus-vacc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ascotia.ca/dhw/cdpc/info-for-professionals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erck.ca/static/pdf/ROTATEQ-PM_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AlleyCAD Services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Health</dc:creator>
  <cp:lastModifiedBy>Stevens, Catherine L</cp:lastModifiedBy>
  <cp:revision>3</cp:revision>
  <cp:lastPrinted>2016-04-13T18:45:00Z</cp:lastPrinted>
  <dcterms:created xsi:type="dcterms:W3CDTF">2019-10-29T17:39:00Z</dcterms:created>
  <dcterms:modified xsi:type="dcterms:W3CDTF">2019-10-29T17:47:00Z</dcterms:modified>
</cp:coreProperties>
</file>